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CE2" w:rsidRDefault="009742AE" w:rsidP="00216CE2">
      <w:pPr>
        <w:pStyle w:val="Subtitle"/>
        <w:spacing w:before="25" w:after="0" w:line="240" w:lineRule="auto"/>
        <w:ind w:right="-14"/>
        <w:rPr>
          <w:rFonts w:ascii="Arial" w:eastAsia="Arial" w:hAnsi="Arial" w:cs="Arial"/>
          <w:color w:val="2E3092"/>
          <w:spacing w:val="-26"/>
          <w:sz w:val="64"/>
          <w:szCs w:val="64"/>
        </w:rPr>
      </w:pPr>
      <w:r>
        <w:rPr>
          <w:rFonts w:ascii="Arial" w:eastAsia="Arial" w:hAnsi="Arial" w:cs="Arial"/>
          <w:color w:val="2E3092"/>
          <w:spacing w:val="-26"/>
          <w:sz w:val="64"/>
          <w:szCs w:val="64"/>
        </w:rPr>
        <w:t>Career Explorations</w:t>
      </w:r>
    </w:p>
    <w:p w:rsidR="00216CE2" w:rsidRPr="00344295" w:rsidRDefault="00216CE2" w:rsidP="00216CE2">
      <w:pPr>
        <w:pStyle w:val="Subtitle"/>
        <w:ind w:right="-14"/>
      </w:pPr>
      <w:r>
        <w:t>Course Overview and Syllabus</w:t>
      </w:r>
    </w:p>
    <w:p w:rsidR="008C0AF0" w:rsidRPr="007458F1" w:rsidRDefault="008C0AF0" w:rsidP="008C0AF0">
      <w:r w:rsidRPr="007458F1">
        <w:rPr>
          <w:b/>
        </w:rPr>
        <w:t>Course Number:</w:t>
      </w:r>
      <w:r w:rsidRPr="007458F1">
        <w:t xml:space="preserve"> </w:t>
      </w:r>
      <w:r w:rsidR="009742AE">
        <w:t>CE34</w:t>
      </w:r>
      <w:r>
        <w:t>01</w:t>
      </w:r>
      <w:r>
        <w:tab/>
      </w:r>
      <w:r w:rsidRPr="007458F1">
        <w:tab/>
      </w:r>
      <w:r w:rsidRPr="007458F1">
        <w:tab/>
      </w:r>
      <w:r w:rsidRPr="007458F1">
        <w:tab/>
      </w:r>
      <w:r w:rsidRPr="007458F1">
        <w:rPr>
          <w:b/>
        </w:rPr>
        <w:t>Grade level:</w:t>
      </w:r>
      <w:r>
        <w:t xml:space="preserve"> </w:t>
      </w:r>
      <w:r w:rsidR="009742AE">
        <w:t>6–10</w:t>
      </w:r>
    </w:p>
    <w:p w:rsidR="008C0AF0" w:rsidRPr="007458F1" w:rsidRDefault="008C0AF0" w:rsidP="008C0AF0">
      <w:r w:rsidRPr="007458F1">
        <w:rPr>
          <w:b/>
        </w:rPr>
        <w:t>Prerequisite Courses:</w:t>
      </w:r>
      <w:r w:rsidRPr="007458F1">
        <w:t xml:space="preserve"> </w:t>
      </w:r>
      <w:r>
        <w:rPr>
          <w:szCs w:val="28"/>
        </w:rPr>
        <w:t>None</w:t>
      </w:r>
      <w:r>
        <w:rPr>
          <w:szCs w:val="28"/>
        </w:rPr>
        <w:tab/>
      </w:r>
      <w:r>
        <w:rPr>
          <w:szCs w:val="28"/>
        </w:rPr>
        <w:tab/>
      </w:r>
      <w:r>
        <w:rPr>
          <w:szCs w:val="28"/>
        </w:rPr>
        <w:tab/>
      </w:r>
      <w:r>
        <w:rPr>
          <w:szCs w:val="28"/>
        </w:rPr>
        <w:tab/>
      </w:r>
      <w:r w:rsidRPr="007458F1">
        <w:rPr>
          <w:b/>
        </w:rPr>
        <w:t>Credits:</w:t>
      </w:r>
      <w:r w:rsidRPr="007458F1">
        <w:t xml:space="preserve"> </w:t>
      </w:r>
      <w:r w:rsidR="00FE1BC9">
        <w:t>1.0</w:t>
      </w:r>
    </w:p>
    <w:p w:rsidR="008C0AF0" w:rsidRDefault="008C0AF0" w:rsidP="008C0AF0">
      <w:pPr>
        <w:pStyle w:val="Heading1"/>
      </w:pPr>
      <w:r w:rsidRPr="007458F1">
        <w:t>Course Description</w:t>
      </w:r>
    </w:p>
    <w:p w:rsidR="002D784C" w:rsidRPr="004C6B70" w:rsidRDefault="009742AE" w:rsidP="004C6B70">
      <w:pPr>
        <w:ind w:right="317"/>
      </w:pPr>
      <w:r w:rsidRPr="009742AE">
        <w:t xml:space="preserve">This </w:t>
      </w:r>
      <w:r w:rsidR="00FE1BC9">
        <w:t>full-year</w:t>
      </w:r>
      <w:r w:rsidR="004A6672">
        <w:t xml:space="preserve"> course prepares middle and high </w:t>
      </w:r>
      <w:r w:rsidRPr="009742AE">
        <w:t xml:space="preserve">school students to make informed decisions about their future academic and occupational goals. Through direct instruction, interactive skills demonstrations, and practice assignments, students learn how to assess their own skills and interests, explore industry clusters and pathways, and develop plans for career and academic development. This course is designed to provide flexibility for students; any number of units can be selected to comprise a course that meets the specific needs of </w:t>
      </w:r>
      <w:r w:rsidR="00F22901">
        <w:t>each student’s skills and interests</w:t>
      </w:r>
      <w:r w:rsidR="002D784C" w:rsidRPr="004C6B70">
        <w:t xml:space="preserve">. </w:t>
      </w:r>
    </w:p>
    <w:p w:rsidR="008C0AF0" w:rsidRDefault="008C0AF0" w:rsidP="008C0AF0">
      <w:pPr>
        <w:pStyle w:val="Heading1"/>
      </w:pPr>
      <w:r w:rsidRPr="00D14E54">
        <w:t>Course Objectives</w:t>
      </w:r>
    </w:p>
    <w:p w:rsidR="008C0AF0" w:rsidRPr="00DB4A11" w:rsidRDefault="008C0AF0" w:rsidP="004C6B70">
      <w:pPr>
        <w:ind w:right="317"/>
      </w:pPr>
      <w:r w:rsidRPr="004C6B70">
        <w:t xml:space="preserve">By taking </w:t>
      </w:r>
      <w:r w:rsidR="009742AE">
        <w:t xml:space="preserve">Career Explorations, </w:t>
      </w:r>
      <w:r w:rsidRPr="004C6B70">
        <w:t>you will meet the</w:t>
      </w:r>
      <w:r w:rsidRPr="00DB4A11">
        <w:t xml:space="preserve"> following goals: </w:t>
      </w:r>
    </w:p>
    <w:p w:rsidR="008C0AF0" w:rsidRPr="00DB4A11" w:rsidRDefault="009742AE" w:rsidP="004C6B70">
      <w:pPr>
        <w:pStyle w:val="ListParagraph"/>
        <w:numPr>
          <w:ilvl w:val="0"/>
          <w:numId w:val="1"/>
        </w:numPr>
      </w:pPr>
      <w:r>
        <w:t>Research and identify the national career clusters</w:t>
      </w:r>
    </w:p>
    <w:p w:rsidR="008C0AF0" w:rsidRPr="00DB4A11" w:rsidRDefault="009742AE" w:rsidP="004C6B70">
      <w:pPr>
        <w:pStyle w:val="ListParagraph"/>
        <w:numPr>
          <w:ilvl w:val="0"/>
          <w:numId w:val="1"/>
        </w:numPr>
      </w:pPr>
      <w:r>
        <w:t>Explore career pathways for each cluster</w:t>
      </w:r>
    </w:p>
    <w:p w:rsidR="009742AE" w:rsidRDefault="009742AE" w:rsidP="004C6B70">
      <w:pPr>
        <w:pStyle w:val="ListParagraph"/>
        <w:numPr>
          <w:ilvl w:val="0"/>
          <w:numId w:val="1"/>
        </w:numPr>
      </w:pPr>
      <w:r>
        <w:t xml:space="preserve">Identify the qualifications, education, and training needed for specific areas </w:t>
      </w:r>
    </w:p>
    <w:p w:rsidR="008C0AF0" w:rsidRPr="00DB4A11" w:rsidRDefault="009742AE" w:rsidP="004C6B70">
      <w:pPr>
        <w:pStyle w:val="ListParagraph"/>
        <w:numPr>
          <w:ilvl w:val="0"/>
          <w:numId w:val="1"/>
        </w:numPr>
      </w:pPr>
      <w:r>
        <w:t>Assess personal skills and interests relative to c</w:t>
      </w:r>
      <w:r w:rsidR="00AD325C">
        <w:t>areers and academic goals</w:t>
      </w:r>
      <w:r w:rsidR="008C0AF0" w:rsidRPr="00DB4A11">
        <w:t xml:space="preserve"> </w:t>
      </w:r>
    </w:p>
    <w:p w:rsidR="008C0AF0" w:rsidRPr="00DB4A11" w:rsidRDefault="00AD325C" w:rsidP="00AD325C">
      <w:pPr>
        <w:pStyle w:val="ListParagraph"/>
        <w:numPr>
          <w:ilvl w:val="0"/>
          <w:numId w:val="1"/>
        </w:numPr>
      </w:pPr>
      <w:r>
        <w:t>Develop plans for further exploration and education</w:t>
      </w:r>
    </w:p>
    <w:p w:rsidR="008C0AF0" w:rsidRDefault="008C0AF0" w:rsidP="008C0AF0">
      <w:pPr>
        <w:pStyle w:val="Heading1"/>
      </w:pPr>
      <w:r w:rsidRPr="007458F1" w:rsidDel="00E12FD3">
        <w:t>Student Expectations</w:t>
      </w:r>
    </w:p>
    <w:p w:rsidR="008C0AF0" w:rsidRPr="00DB4A11" w:rsidRDefault="008C0AF0" w:rsidP="004C6B70">
      <w:pPr>
        <w:ind w:right="317"/>
      </w:pPr>
      <w:r w:rsidRPr="00DB4A11">
        <w:t xml:space="preserve">This course requires the same level of commitment from you as a traditional classroom course would. Throughout the course, you are expected to spend approximately five to seven hours per week online on the following activities: </w:t>
      </w:r>
    </w:p>
    <w:p w:rsidR="001E4897" w:rsidRPr="001E4897" w:rsidRDefault="001E4897" w:rsidP="004C6B70">
      <w:pPr>
        <w:pStyle w:val="ListParagraph"/>
        <w:numPr>
          <w:ilvl w:val="0"/>
          <w:numId w:val="2"/>
        </w:numPr>
      </w:pPr>
      <w:r>
        <w:t xml:space="preserve">Interactive lessons that include a mixture of instructional segments and tasks </w:t>
      </w:r>
    </w:p>
    <w:p w:rsidR="008C0AF0" w:rsidRPr="00DB4A11" w:rsidRDefault="008C0AF0" w:rsidP="004C6B70">
      <w:pPr>
        <w:pStyle w:val="ListParagraph"/>
        <w:numPr>
          <w:ilvl w:val="0"/>
          <w:numId w:val="2"/>
        </w:numPr>
      </w:pPr>
      <w:r w:rsidRPr="00DB4A11">
        <w:t xml:space="preserve">Assignments in which you apply and extend learning in each lesson </w:t>
      </w:r>
    </w:p>
    <w:p w:rsidR="008C0AF0" w:rsidRPr="00DB4A11" w:rsidRDefault="008C0AF0" w:rsidP="004C6B70">
      <w:pPr>
        <w:pStyle w:val="ListParagraph"/>
        <w:numPr>
          <w:ilvl w:val="0"/>
          <w:numId w:val="2"/>
        </w:numPr>
      </w:pPr>
      <w:r w:rsidRPr="00DB4A11">
        <w:t xml:space="preserve">Assessments, including tests and cumulative exams </w:t>
      </w:r>
    </w:p>
    <w:p w:rsidR="003D41C8" w:rsidRDefault="003D41C8">
      <w:pPr>
        <w:widowControl/>
        <w:spacing w:before="0" w:after="200" w:line="276" w:lineRule="auto"/>
        <w:ind w:right="0"/>
        <w:rPr>
          <w:b/>
          <w:bCs/>
          <w:color w:val="2E3092"/>
        </w:rPr>
      </w:pPr>
      <w:r>
        <w:br w:type="page"/>
      </w:r>
    </w:p>
    <w:p w:rsidR="008C0AF0" w:rsidRPr="007458F1" w:rsidRDefault="008C0AF0" w:rsidP="008C0AF0">
      <w:pPr>
        <w:pStyle w:val="Heading1"/>
      </w:pPr>
      <w:r w:rsidRPr="007458F1">
        <w:lastRenderedPageBreak/>
        <w:t>Communication</w:t>
      </w:r>
    </w:p>
    <w:p w:rsidR="00AD325C" w:rsidRDefault="00F91AFE" w:rsidP="00F50780">
      <w:pPr>
        <w:ind w:right="317"/>
      </w:pPr>
      <w:r w:rsidRPr="004C6B70">
        <w:t>Your teacher will communicate with you regularly through discussions, email, chat, and system announcements. You will also communicate with classmates, either via online tools or face to face, as you collaborate on projects, ask and answer questions in your peer group, and develop your speaking and listening skills.</w:t>
      </w:r>
    </w:p>
    <w:p w:rsidR="008C0AF0" w:rsidRPr="007458F1" w:rsidRDefault="008C0AF0" w:rsidP="008C0AF0">
      <w:pPr>
        <w:pStyle w:val="Heading1"/>
      </w:pPr>
      <w:r w:rsidRPr="007458F1">
        <w:t>Grading Policy</w:t>
      </w:r>
    </w:p>
    <w:p w:rsidR="008C0AF0" w:rsidRPr="00E8650D" w:rsidRDefault="008C0AF0" w:rsidP="004C6B70">
      <w:pPr>
        <w:ind w:right="317"/>
      </w:pPr>
      <w:r w:rsidRPr="00E8650D">
        <w:t xml:space="preserve">You will be graded on the work you do online and the work you submit electronically to your teacher. The weighting for each category of graded activity is listed below. </w:t>
      </w:r>
    </w:p>
    <w:tbl>
      <w:tblPr>
        <w:tblStyle w:val="MediumShading1-Accent1"/>
        <w:tblW w:w="0" w:type="auto"/>
        <w:jc w:val="center"/>
        <w:tblLook w:val="0420" w:firstRow="1" w:lastRow="0" w:firstColumn="0" w:lastColumn="0" w:noHBand="0" w:noVBand="1"/>
      </w:tblPr>
      <w:tblGrid>
        <w:gridCol w:w="3510"/>
        <w:gridCol w:w="1305"/>
      </w:tblGrid>
      <w:tr w:rsidR="008C0AF0" w:rsidRPr="007458F1" w:rsidTr="00AD325C">
        <w:trPr>
          <w:cnfStyle w:val="100000000000" w:firstRow="1" w:lastRow="0" w:firstColumn="0" w:lastColumn="0" w:oddVBand="0" w:evenVBand="0" w:oddHBand="0" w:evenHBand="0" w:firstRowFirstColumn="0" w:firstRowLastColumn="0" w:lastRowFirstColumn="0" w:lastRowLastColumn="0"/>
          <w:jc w:val="center"/>
        </w:trPr>
        <w:tc>
          <w:tcPr>
            <w:tcW w:w="3510" w:type="dxa"/>
            <w:shd w:val="clear" w:color="auto" w:fill="2E3092"/>
          </w:tcPr>
          <w:p w:rsidR="008C0AF0" w:rsidRPr="007458F1" w:rsidRDefault="008C0AF0" w:rsidP="007A06E4">
            <w:pPr>
              <w:pStyle w:val="TableHeader"/>
              <w:spacing w:before="120" w:after="120"/>
              <w:ind w:right="317"/>
            </w:pPr>
            <w:r w:rsidRPr="007458F1">
              <w:t>Grading Category</w:t>
            </w:r>
          </w:p>
        </w:tc>
        <w:tc>
          <w:tcPr>
            <w:tcW w:w="1305" w:type="dxa"/>
            <w:shd w:val="clear" w:color="auto" w:fill="2E3092"/>
          </w:tcPr>
          <w:p w:rsidR="008C0AF0" w:rsidRPr="007458F1" w:rsidRDefault="008C0AF0" w:rsidP="007A06E4">
            <w:pPr>
              <w:pStyle w:val="TableHeader"/>
              <w:spacing w:before="120" w:after="120"/>
              <w:ind w:right="317"/>
            </w:pPr>
            <w:r w:rsidRPr="007458F1">
              <w:t>Weight</w:t>
            </w:r>
          </w:p>
        </w:tc>
      </w:tr>
      <w:tr w:rsidR="008C0AF0" w:rsidRPr="007458F1" w:rsidTr="00AD325C">
        <w:trPr>
          <w:cnfStyle w:val="000000100000" w:firstRow="0" w:lastRow="0" w:firstColumn="0" w:lastColumn="0" w:oddVBand="0" w:evenVBand="0" w:oddHBand="1" w:evenHBand="0" w:firstRowFirstColumn="0" w:firstRowLastColumn="0" w:lastRowFirstColumn="0" w:lastRowLastColumn="0"/>
          <w:jc w:val="center"/>
        </w:trPr>
        <w:tc>
          <w:tcPr>
            <w:tcW w:w="3510" w:type="dxa"/>
            <w:shd w:val="clear" w:color="auto" w:fill="DEDFE0"/>
          </w:tcPr>
          <w:p w:rsidR="008C0AF0" w:rsidRPr="007458F1" w:rsidRDefault="008C0AF0" w:rsidP="007A06E4">
            <w:pPr>
              <w:pStyle w:val="TableText"/>
              <w:spacing w:before="60" w:after="60"/>
              <w:ind w:right="-14"/>
              <w:rPr>
                <w:b/>
              </w:rPr>
            </w:pPr>
            <w:r w:rsidRPr="007458F1">
              <w:rPr>
                <w:b/>
              </w:rPr>
              <w:t>Assignments</w:t>
            </w:r>
          </w:p>
        </w:tc>
        <w:tc>
          <w:tcPr>
            <w:tcW w:w="1305" w:type="dxa"/>
            <w:shd w:val="clear" w:color="auto" w:fill="DEDFE0"/>
          </w:tcPr>
          <w:p w:rsidR="008C0AF0" w:rsidRPr="007458F1" w:rsidRDefault="00FE1BC9" w:rsidP="007A06E4">
            <w:pPr>
              <w:pStyle w:val="TableText"/>
              <w:spacing w:before="60" w:after="60"/>
              <w:ind w:right="-14"/>
            </w:pPr>
            <w:r>
              <w:t>3</w:t>
            </w:r>
            <w:r w:rsidR="008C0AF0" w:rsidRPr="007458F1">
              <w:t>0%</w:t>
            </w:r>
          </w:p>
        </w:tc>
      </w:tr>
      <w:tr w:rsidR="008C0AF0" w:rsidRPr="007458F1" w:rsidTr="00AD325C">
        <w:trPr>
          <w:cnfStyle w:val="000000010000" w:firstRow="0" w:lastRow="0" w:firstColumn="0" w:lastColumn="0" w:oddVBand="0" w:evenVBand="0" w:oddHBand="0" w:evenHBand="1" w:firstRowFirstColumn="0" w:firstRowLastColumn="0" w:lastRowFirstColumn="0" w:lastRowLastColumn="0"/>
          <w:jc w:val="center"/>
        </w:trPr>
        <w:tc>
          <w:tcPr>
            <w:tcW w:w="3510" w:type="dxa"/>
            <w:tcBorders>
              <w:bottom w:val="single" w:sz="8" w:space="0" w:color="7BA0CD" w:themeColor="accent1" w:themeTint="BF"/>
            </w:tcBorders>
            <w:shd w:val="clear" w:color="auto" w:fill="auto"/>
          </w:tcPr>
          <w:p w:rsidR="008C0AF0" w:rsidRPr="007458F1" w:rsidRDefault="008C0AF0" w:rsidP="007A06E4">
            <w:pPr>
              <w:pStyle w:val="TableText"/>
              <w:spacing w:before="60" w:after="60"/>
              <w:ind w:right="-14"/>
              <w:rPr>
                <w:b/>
              </w:rPr>
            </w:pPr>
            <w:r w:rsidRPr="007458F1">
              <w:rPr>
                <w:b/>
              </w:rPr>
              <w:t>Lesson Quizzes</w:t>
            </w:r>
          </w:p>
        </w:tc>
        <w:tc>
          <w:tcPr>
            <w:tcW w:w="1305" w:type="dxa"/>
            <w:tcBorders>
              <w:bottom w:val="single" w:sz="8" w:space="0" w:color="7BA0CD" w:themeColor="accent1" w:themeTint="BF"/>
            </w:tcBorders>
            <w:shd w:val="clear" w:color="auto" w:fill="auto"/>
          </w:tcPr>
          <w:p w:rsidR="008C0AF0" w:rsidRPr="007458F1" w:rsidRDefault="00AD325C" w:rsidP="007A06E4">
            <w:pPr>
              <w:pStyle w:val="TableText"/>
              <w:spacing w:before="60" w:after="60"/>
              <w:ind w:right="-14"/>
            </w:pPr>
            <w:r>
              <w:t xml:space="preserve"> </w:t>
            </w:r>
            <w:r w:rsidR="003D41C8">
              <w:t xml:space="preserve"> </w:t>
            </w:r>
            <w:r w:rsidR="008C0AF0" w:rsidRPr="007458F1">
              <w:t>0%</w:t>
            </w:r>
          </w:p>
        </w:tc>
      </w:tr>
      <w:tr w:rsidR="008C0AF0" w:rsidRPr="007458F1" w:rsidTr="00AD325C">
        <w:trPr>
          <w:cnfStyle w:val="000000100000" w:firstRow="0" w:lastRow="0" w:firstColumn="0" w:lastColumn="0" w:oddVBand="0" w:evenVBand="0" w:oddHBand="1" w:evenHBand="0" w:firstRowFirstColumn="0" w:firstRowLastColumn="0" w:lastRowFirstColumn="0" w:lastRowLastColumn="0"/>
          <w:jc w:val="center"/>
        </w:trPr>
        <w:tc>
          <w:tcPr>
            <w:tcW w:w="3510" w:type="dxa"/>
            <w:shd w:val="clear" w:color="auto" w:fill="D9D9D9" w:themeFill="background1" w:themeFillShade="D9"/>
          </w:tcPr>
          <w:p w:rsidR="008C0AF0" w:rsidRPr="007458F1" w:rsidRDefault="008C0AF0" w:rsidP="007A06E4">
            <w:pPr>
              <w:pStyle w:val="TableText"/>
              <w:spacing w:before="60" w:after="60"/>
              <w:ind w:right="-14"/>
              <w:rPr>
                <w:b/>
              </w:rPr>
            </w:pPr>
            <w:r w:rsidRPr="007458F1">
              <w:rPr>
                <w:b/>
              </w:rPr>
              <w:t>Unit Tests</w:t>
            </w:r>
          </w:p>
        </w:tc>
        <w:tc>
          <w:tcPr>
            <w:tcW w:w="1305" w:type="dxa"/>
            <w:shd w:val="clear" w:color="auto" w:fill="D9D9D9" w:themeFill="background1" w:themeFillShade="D9"/>
          </w:tcPr>
          <w:p w:rsidR="008C0AF0" w:rsidRPr="007458F1" w:rsidRDefault="003D41C8" w:rsidP="007A06E4">
            <w:pPr>
              <w:pStyle w:val="TableText"/>
              <w:spacing w:before="60" w:after="60"/>
              <w:ind w:right="-14"/>
            </w:pPr>
            <w:r>
              <w:t xml:space="preserve"> </w:t>
            </w:r>
            <w:r w:rsidR="003453CB">
              <w:t>2</w:t>
            </w:r>
            <w:r w:rsidR="008C0AF0" w:rsidRPr="007458F1">
              <w:t>0%</w:t>
            </w:r>
          </w:p>
        </w:tc>
      </w:tr>
      <w:tr w:rsidR="008C0AF0" w:rsidRPr="007458F1" w:rsidTr="00AD325C">
        <w:trPr>
          <w:cnfStyle w:val="000000010000" w:firstRow="0" w:lastRow="0" w:firstColumn="0" w:lastColumn="0" w:oddVBand="0" w:evenVBand="0" w:oddHBand="0" w:evenHBand="1" w:firstRowFirstColumn="0" w:firstRowLastColumn="0" w:lastRowFirstColumn="0" w:lastRowLastColumn="0"/>
          <w:jc w:val="center"/>
        </w:trPr>
        <w:tc>
          <w:tcPr>
            <w:tcW w:w="3510" w:type="dxa"/>
            <w:tcBorders>
              <w:bottom w:val="single" w:sz="8" w:space="0" w:color="7BA0CD" w:themeColor="accent1" w:themeTint="BF"/>
            </w:tcBorders>
            <w:shd w:val="clear" w:color="auto" w:fill="auto"/>
          </w:tcPr>
          <w:p w:rsidR="008C0AF0" w:rsidRPr="007458F1" w:rsidRDefault="008C0AF0" w:rsidP="007A06E4">
            <w:pPr>
              <w:pStyle w:val="TableText"/>
              <w:spacing w:before="60" w:after="60"/>
              <w:ind w:right="-14"/>
              <w:rPr>
                <w:b/>
              </w:rPr>
            </w:pPr>
            <w:r w:rsidRPr="007458F1">
              <w:rPr>
                <w:b/>
              </w:rPr>
              <w:t>Cumulative Exams</w:t>
            </w:r>
          </w:p>
        </w:tc>
        <w:tc>
          <w:tcPr>
            <w:tcW w:w="1305" w:type="dxa"/>
            <w:tcBorders>
              <w:bottom w:val="single" w:sz="8" w:space="0" w:color="7BA0CD" w:themeColor="accent1" w:themeTint="BF"/>
            </w:tcBorders>
            <w:shd w:val="clear" w:color="auto" w:fill="auto"/>
          </w:tcPr>
          <w:p w:rsidR="008C0AF0" w:rsidRPr="007458F1" w:rsidRDefault="008C0AF0" w:rsidP="007A06E4">
            <w:pPr>
              <w:pStyle w:val="TableText"/>
              <w:spacing w:before="60" w:after="60"/>
              <w:ind w:right="-14"/>
            </w:pPr>
            <w:r>
              <w:t xml:space="preserve"> </w:t>
            </w:r>
            <w:r w:rsidR="003453CB">
              <w:t>1</w:t>
            </w:r>
            <w:r w:rsidRPr="007458F1">
              <w:t>0%</w:t>
            </w:r>
          </w:p>
        </w:tc>
      </w:tr>
      <w:tr w:rsidR="008C0AF0" w:rsidRPr="007458F1" w:rsidTr="00AD325C">
        <w:trPr>
          <w:cnfStyle w:val="000000100000" w:firstRow="0" w:lastRow="0" w:firstColumn="0" w:lastColumn="0" w:oddVBand="0" w:evenVBand="0" w:oddHBand="1" w:evenHBand="0" w:firstRowFirstColumn="0" w:firstRowLastColumn="0" w:lastRowFirstColumn="0" w:lastRowLastColumn="0"/>
          <w:jc w:val="center"/>
        </w:trPr>
        <w:tc>
          <w:tcPr>
            <w:tcW w:w="3510" w:type="dxa"/>
            <w:shd w:val="clear" w:color="auto" w:fill="D9D9D9" w:themeFill="background1" w:themeFillShade="D9"/>
          </w:tcPr>
          <w:p w:rsidR="008C0AF0" w:rsidRPr="007458F1" w:rsidRDefault="008C0AF0" w:rsidP="007A06E4">
            <w:pPr>
              <w:pStyle w:val="TableText"/>
              <w:spacing w:before="60" w:after="60"/>
              <w:ind w:right="-14"/>
              <w:rPr>
                <w:b/>
              </w:rPr>
            </w:pPr>
            <w:r w:rsidRPr="007458F1">
              <w:rPr>
                <w:b/>
              </w:rPr>
              <w:t>Projects</w:t>
            </w:r>
          </w:p>
        </w:tc>
        <w:tc>
          <w:tcPr>
            <w:tcW w:w="1305" w:type="dxa"/>
            <w:shd w:val="clear" w:color="auto" w:fill="D9D9D9" w:themeFill="background1" w:themeFillShade="D9"/>
          </w:tcPr>
          <w:p w:rsidR="008C0AF0" w:rsidRPr="007458F1" w:rsidRDefault="003453CB" w:rsidP="007A06E4">
            <w:pPr>
              <w:pStyle w:val="TableText"/>
              <w:spacing w:before="60" w:after="60"/>
              <w:ind w:right="-14"/>
            </w:pPr>
            <w:r>
              <w:t xml:space="preserve"> </w:t>
            </w:r>
            <w:r w:rsidR="00FE1BC9">
              <w:t>4</w:t>
            </w:r>
            <w:r w:rsidR="008C0AF0" w:rsidRPr="007458F1">
              <w:t>0%</w:t>
            </w:r>
          </w:p>
        </w:tc>
      </w:tr>
    </w:tbl>
    <w:p w:rsidR="008C0AF0" w:rsidRDefault="00AD325C" w:rsidP="008C0AF0">
      <w:pPr>
        <w:pStyle w:val="Heading1"/>
      </w:pPr>
      <w:r>
        <w:br/>
      </w:r>
      <w:r w:rsidR="008C0AF0">
        <w:t>Scope and Sequence</w:t>
      </w:r>
    </w:p>
    <w:p w:rsidR="00F50780" w:rsidRDefault="00F91AFE" w:rsidP="00F50780">
      <w:pPr>
        <w:ind w:right="317"/>
      </w:pPr>
      <w:r w:rsidRPr="00F91AFE">
        <w:t>When you log into Edgenuity, you can view the entire course map—an interactive scope and sequence of all topics you will study. The units of study are summarized below:</w:t>
      </w:r>
    </w:p>
    <w:p w:rsidR="003D41C8" w:rsidRDefault="003D41C8" w:rsidP="00F50780">
      <w:pPr>
        <w:pStyle w:val="Default"/>
        <w:spacing w:line="360" w:lineRule="auto"/>
        <w:rPr>
          <w:rFonts w:ascii="Arial" w:eastAsia="Arial" w:hAnsi="Arial" w:cs="Arial"/>
          <w:b/>
          <w:bCs/>
          <w:color w:val="2E3092"/>
          <w:sz w:val="22"/>
          <w:szCs w:val="22"/>
        </w:rPr>
        <w:sectPr w:rsidR="003D41C8">
          <w:footerReference w:type="default" r:id="rId10"/>
          <w:pgSz w:w="12240" w:h="15840"/>
          <w:pgMar w:top="1440" w:right="1440" w:bottom="1440" w:left="1440" w:header="720" w:footer="720" w:gutter="0"/>
          <w:cols w:space="720"/>
          <w:docGrid w:linePitch="360"/>
        </w:sectPr>
      </w:pPr>
    </w:p>
    <w:p w:rsidR="00F50780" w:rsidRPr="00DB4A11" w:rsidRDefault="00F50780" w:rsidP="00110356">
      <w:pPr>
        <w:pStyle w:val="Default"/>
        <w:spacing w:line="300" w:lineRule="auto"/>
        <w:rPr>
          <w:rFonts w:ascii="Arial" w:hAnsi="Arial" w:cs="Arial"/>
          <w:sz w:val="22"/>
          <w:szCs w:val="22"/>
        </w:rPr>
      </w:pPr>
      <w:r w:rsidRPr="008C0AF0">
        <w:rPr>
          <w:rFonts w:ascii="Arial" w:eastAsia="Arial" w:hAnsi="Arial" w:cs="Arial"/>
          <w:b/>
          <w:bCs/>
          <w:color w:val="2E3092"/>
          <w:sz w:val="22"/>
          <w:szCs w:val="22"/>
        </w:rPr>
        <w:lastRenderedPageBreak/>
        <w:t>Unit 1:</w:t>
      </w:r>
      <w:r>
        <w:rPr>
          <w:rFonts w:ascii="Arial" w:hAnsi="Arial" w:cs="Arial"/>
          <w:sz w:val="22"/>
          <w:szCs w:val="22"/>
        </w:rPr>
        <w:t xml:space="preserve"> Career Clusters</w:t>
      </w:r>
      <w:r w:rsidRPr="00DB4A11">
        <w:rPr>
          <w:rFonts w:ascii="Arial" w:hAnsi="Arial" w:cs="Arial"/>
          <w:sz w:val="22"/>
          <w:szCs w:val="22"/>
        </w:rPr>
        <w:t xml:space="preserve"> </w:t>
      </w:r>
    </w:p>
    <w:p w:rsidR="00F50780" w:rsidRPr="00DB4A11" w:rsidRDefault="00F50780" w:rsidP="00110356">
      <w:pPr>
        <w:pStyle w:val="Default"/>
        <w:spacing w:line="300" w:lineRule="auto"/>
        <w:rPr>
          <w:rFonts w:ascii="Arial" w:hAnsi="Arial" w:cs="Arial"/>
          <w:sz w:val="22"/>
          <w:szCs w:val="22"/>
        </w:rPr>
      </w:pPr>
      <w:r w:rsidRPr="008C0AF0">
        <w:rPr>
          <w:rFonts w:ascii="Arial" w:eastAsia="Arial" w:hAnsi="Arial" w:cs="Arial"/>
          <w:b/>
          <w:bCs/>
          <w:color w:val="2E3092"/>
          <w:sz w:val="22"/>
          <w:szCs w:val="22"/>
        </w:rPr>
        <w:t>Unit 2:</w:t>
      </w:r>
      <w:r>
        <w:rPr>
          <w:rFonts w:ascii="Arial" w:hAnsi="Arial" w:cs="Arial"/>
          <w:sz w:val="22"/>
          <w:szCs w:val="22"/>
        </w:rPr>
        <w:t xml:space="preserve"> </w:t>
      </w:r>
      <w:r w:rsidRPr="00AD325C">
        <w:rPr>
          <w:rFonts w:ascii="Arial" w:hAnsi="Arial" w:cs="Arial"/>
          <w:sz w:val="22"/>
          <w:szCs w:val="22"/>
        </w:rPr>
        <w:t>Agriculture, Food, and Natu</w:t>
      </w:r>
      <w:bookmarkStart w:id="0" w:name="_GoBack"/>
      <w:bookmarkEnd w:id="0"/>
      <w:r w:rsidRPr="00AD325C">
        <w:rPr>
          <w:rFonts w:ascii="Arial" w:hAnsi="Arial" w:cs="Arial"/>
          <w:sz w:val="22"/>
          <w:szCs w:val="22"/>
        </w:rPr>
        <w:t>ral Resources Careers</w:t>
      </w:r>
      <w:r w:rsidRPr="00DB4A11">
        <w:rPr>
          <w:rFonts w:ascii="Arial" w:hAnsi="Arial" w:cs="Arial"/>
          <w:sz w:val="22"/>
          <w:szCs w:val="22"/>
        </w:rPr>
        <w:t xml:space="preserve"> </w:t>
      </w:r>
    </w:p>
    <w:p w:rsidR="00F50780" w:rsidRPr="00DB4A11" w:rsidRDefault="00F50780" w:rsidP="00110356">
      <w:pPr>
        <w:pStyle w:val="Default"/>
        <w:spacing w:line="300" w:lineRule="auto"/>
        <w:rPr>
          <w:rFonts w:ascii="Arial" w:hAnsi="Arial" w:cs="Arial"/>
          <w:sz w:val="22"/>
          <w:szCs w:val="22"/>
        </w:rPr>
      </w:pPr>
      <w:r w:rsidRPr="008C0AF0">
        <w:rPr>
          <w:rFonts w:ascii="Arial" w:eastAsia="Arial" w:hAnsi="Arial" w:cs="Arial"/>
          <w:b/>
          <w:bCs/>
          <w:color w:val="2E3092"/>
          <w:sz w:val="22"/>
          <w:szCs w:val="22"/>
        </w:rPr>
        <w:t>Unit 3:</w:t>
      </w:r>
      <w:r>
        <w:rPr>
          <w:rFonts w:ascii="Arial" w:hAnsi="Arial" w:cs="Arial"/>
          <w:sz w:val="22"/>
          <w:szCs w:val="22"/>
        </w:rPr>
        <w:t xml:space="preserve"> </w:t>
      </w:r>
      <w:r w:rsidRPr="00AD325C">
        <w:rPr>
          <w:rFonts w:ascii="Arial" w:hAnsi="Arial" w:cs="Arial"/>
          <w:sz w:val="22"/>
          <w:szCs w:val="22"/>
        </w:rPr>
        <w:t xml:space="preserve">Architecture and Construction Careers </w:t>
      </w:r>
      <w:r w:rsidRPr="00DB4A11">
        <w:rPr>
          <w:rFonts w:ascii="Arial" w:hAnsi="Arial" w:cs="Arial"/>
          <w:sz w:val="22"/>
          <w:szCs w:val="22"/>
        </w:rPr>
        <w:t xml:space="preserve"> </w:t>
      </w:r>
    </w:p>
    <w:p w:rsidR="00F50780" w:rsidRPr="00DB4A11" w:rsidRDefault="00F50780" w:rsidP="00110356">
      <w:pPr>
        <w:pStyle w:val="Default"/>
        <w:spacing w:line="300" w:lineRule="auto"/>
        <w:rPr>
          <w:rFonts w:ascii="Arial" w:hAnsi="Arial" w:cs="Arial"/>
          <w:sz w:val="22"/>
          <w:szCs w:val="22"/>
        </w:rPr>
      </w:pPr>
      <w:r w:rsidRPr="008C0AF0">
        <w:rPr>
          <w:rFonts w:ascii="Arial" w:eastAsia="Arial" w:hAnsi="Arial" w:cs="Arial"/>
          <w:b/>
          <w:bCs/>
          <w:color w:val="2E3092"/>
          <w:sz w:val="22"/>
          <w:szCs w:val="22"/>
        </w:rPr>
        <w:t>Unit 4:</w:t>
      </w:r>
      <w:r>
        <w:rPr>
          <w:rFonts w:ascii="Arial" w:hAnsi="Arial" w:cs="Arial"/>
          <w:sz w:val="22"/>
          <w:szCs w:val="22"/>
        </w:rPr>
        <w:t xml:space="preserve"> </w:t>
      </w:r>
      <w:r w:rsidRPr="00AD325C">
        <w:rPr>
          <w:rFonts w:ascii="Arial" w:hAnsi="Arial" w:cs="Arial"/>
          <w:sz w:val="22"/>
          <w:szCs w:val="22"/>
        </w:rPr>
        <w:t>Arts, A/V Technology, and Communication Careers</w:t>
      </w:r>
    </w:p>
    <w:p w:rsidR="00F50780" w:rsidRPr="00DB4A11" w:rsidRDefault="00F50780" w:rsidP="00110356">
      <w:pPr>
        <w:pStyle w:val="Default"/>
        <w:spacing w:line="300" w:lineRule="auto"/>
        <w:rPr>
          <w:rFonts w:ascii="Arial" w:hAnsi="Arial" w:cs="Arial"/>
          <w:sz w:val="22"/>
          <w:szCs w:val="22"/>
        </w:rPr>
      </w:pPr>
      <w:r w:rsidRPr="008C0AF0">
        <w:rPr>
          <w:rFonts w:ascii="Arial" w:eastAsia="Arial" w:hAnsi="Arial" w:cs="Arial"/>
          <w:b/>
          <w:bCs/>
          <w:color w:val="2E3092"/>
          <w:sz w:val="22"/>
          <w:szCs w:val="22"/>
        </w:rPr>
        <w:t>Unit 5:</w:t>
      </w:r>
      <w:r>
        <w:rPr>
          <w:rFonts w:ascii="Arial" w:hAnsi="Arial" w:cs="Arial"/>
          <w:sz w:val="22"/>
          <w:szCs w:val="22"/>
        </w:rPr>
        <w:t xml:space="preserve"> </w:t>
      </w:r>
      <w:r w:rsidRPr="00AD325C">
        <w:rPr>
          <w:rFonts w:ascii="Arial" w:hAnsi="Arial" w:cs="Arial"/>
          <w:sz w:val="22"/>
          <w:szCs w:val="22"/>
        </w:rPr>
        <w:t>Business, Management, and Administration Careers</w:t>
      </w:r>
    </w:p>
    <w:p w:rsidR="00F50780" w:rsidRPr="00DB4A11" w:rsidRDefault="00F50780" w:rsidP="00110356">
      <w:pPr>
        <w:pStyle w:val="Default"/>
        <w:spacing w:line="300" w:lineRule="auto"/>
        <w:rPr>
          <w:rFonts w:ascii="Arial" w:hAnsi="Arial" w:cs="Arial"/>
          <w:sz w:val="22"/>
          <w:szCs w:val="22"/>
        </w:rPr>
      </w:pPr>
      <w:r w:rsidRPr="008C0AF0">
        <w:rPr>
          <w:rFonts w:ascii="Arial" w:eastAsia="Arial" w:hAnsi="Arial" w:cs="Arial"/>
          <w:b/>
          <w:bCs/>
          <w:color w:val="2E3092"/>
          <w:sz w:val="22"/>
          <w:szCs w:val="22"/>
        </w:rPr>
        <w:t>Unit 6:</w:t>
      </w:r>
      <w:r>
        <w:rPr>
          <w:rFonts w:ascii="Arial" w:hAnsi="Arial" w:cs="Arial"/>
          <w:sz w:val="22"/>
          <w:szCs w:val="22"/>
        </w:rPr>
        <w:t xml:space="preserve"> </w:t>
      </w:r>
      <w:r w:rsidRPr="00AD325C">
        <w:rPr>
          <w:rFonts w:ascii="Arial" w:hAnsi="Arial" w:cs="Arial"/>
          <w:sz w:val="22"/>
          <w:szCs w:val="22"/>
        </w:rPr>
        <w:t>Education and Training Careers</w:t>
      </w:r>
      <w:r w:rsidRPr="00DB4A11">
        <w:rPr>
          <w:rFonts w:ascii="Arial" w:hAnsi="Arial" w:cs="Arial"/>
          <w:sz w:val="22"/>
          <w:szCs w:val="22"/>
        </w:rPr>
        <w:t xml:space="preserve"> </w:t>
      </w:r>
    </w:p>
    <w:p w:rsidR="00F50780" w:rsidRPr="00DB4A11" w:rsidRDefault="00F50780" w:rsidP="00110356">
      <w:pPr>
        <w:pStyle w:val="Default"/>
        <w:spacing w:line="300" w:lineRule="auto"/>
        <w:rPr>
          <w:rFonts w:ascii="Arial" w:hAnsi="Arial" w:cs="Arial"/>
          <w:sz w:val="22"/>
          <w:szCs w:val="22"/>
        </w:rPr>
      </w:pPr>
      <w:r w:rsidRPr="008C0AF0">
        <w:rPr>
          <w:rFonts w:ascii="Arial" w:eastAsia="Arial" w:hAnsi="Arial" w:cs="Arial"/>
          <w:b/>
          <w:bCs/>
          <w:color w:val="2E3092"/>
          <w:sz w:val="22"/>
          <w:szCs w:val="22"/>
        </w:rPr>
        <w:t>Unit 7:</w:t>
      </w:r>
      <w:r>
        <w:rPr>
          <w:rFonts w:ascii="Arial" w:hAnsi="Arial" w:cs="Arial"/>
          <w:sz w:val="22"/>
          <w:szCs w:val="22"/>
        </w:rPr>
        <w:t xml:space="preserve"> Energy Careers</w:t>
      </w:r>
      <w:r w:rsidRPr="00DB4A11">
        <w:rPr>
          <w:rFonts w:ascii="Arial" w:hAnsi="Arial" w:cs="Arial"/>
          <w:sz w:val="22"/>
          <w:szCs w:val="22"/>
        </w:rPr>
        <w:t xml:space="preserve"> </w:t>
      </w:r>
    </w:p>
    <w:p w:rsidR="00F50780" w:rsidRPr="00DB4A11" w:rsidRDefault="00F50780" w:rsidP="00110356">
      <w:pPr>
        <w:pStyle w:val="Default"/>
        <w:spacing w:line="300" w:lineRule="auto"/>
        <w:rPr>
          <w:rFonts w:ascii="Arial" w:hAnsi="Arial" w:cs="Arial"/>
          <w:sz w:val="22"/>
          <w:szCs w:val="22"/>
        </w:rPr>
      </w:pPr>
      <w:r w:rsidRPr="008C0AF0">
        <w:rPr>
          <w:rFonts w:ascii="Arial" w:eastAsia="Arial" w:hAnsi="Arial" w:cs="Arial"/>
          <w:b/>
          <w:bCs/>
          <w:color w:val="2E3092"/>
          <w:sz w:val="22"/>
          <w:szCs w:val="22"/>
        </w:rPr>
        <w:t>Unit 8:</w:t>
      </w:r>
      <w:r>
        <w:rPr>
          <w:rFonts w:ascii="Arial" w:hAnsi="Arial" w:cs="Arial"/>
          <w:sz w:val="22"/>
          <w:szCs w:val="22"/>
        </w:rPr>
        <w:t xml:space="preserve"> Finance Careers</w:t>
      </w:r>
      <w:r w:rsidRPr="00DB4A11">
        <w:rPr>
          <w:rFonts w:ascii="Arial" w:hAnsi="Arial" w:cs="Arial"/>
          <w:sz w:val="22"/>
          <w:szCs w:val="22"/>
        </w:rPr>
        <w:t xml:space="preserve"> </w:t>
      </w:r>
    </w:p>
    <w:p w:rsidR="00F50780" w:rsidRPr="00DB4A11" w:rsidRDefault="00F50780" w:rsidP="00110356">
      <w:pPr>
        <w:pStyle w:val="Default"/>
        <w:spacing w:line="300" w:lineRule="auto"/>
        <w:rPr>
          <w:rFonts w:ascii="Arial" w:hAnsi="Arial" w:cs="Arial"/>
          <w:sz w:val="22"/>
          <w:szCs w:val="22"/>
        </w:rPr>
      </w:pPr>
      <w:r w:rsidRPr="008C0AF0">
        <w:rPr>
          <w:rFonts w:ascii="Arial" w:eastAsia="Arial" w:hAnsi="Arial" w:cs="Arial"/>
          <w:b/>
          <w:bCs/>
          <w:color w:val="2E3092"/>
          <w:sz w:val="22"/>
          <w:szCs w:val="22"/>
        </w:rPr>
        <w:t>Unit 9:</w:t>
      </w:r>
      <w:r>
        <w:rPr>
          <w:rFonts w:ascii="Arial" w:hAnsi="Arial" w:cs="Arial"/>
          <w:sz w:val="22"/>
          <w:szCs w:val="22"/>
        </w:rPr>
        <w:t xml:space="preserve"> </w:t>
      </w:r>
      <w:r w:rsidRPr="00AD325C">
        <w:rPr>
          <w:rFonts w:ascii="Arial" w:hAnsi="Arial" w:cs="Arial"/>
          <w:sz w:val="22"/>
          <w:szCs w:val="22"/>
        </w:rPr>
        <w:t>Government and Public Administration Careers</w:t>
      </w:r>
      <w:r w:rsidRPr="00DB4A11">
        <w:rPr>
          <w:rFonts w:ascii="Arial" w:hAnsi="Arial" w:cs="Arial"/>
          <w:sz w:val="22"/>
          <w:szCs w:val="22"/>
        </w:rPr>
        <w:t xml:space="preserve"> </w:t>
      </w:r>
    </w:p>
    <w:p w:rsidR="00F50780" w:rsidRPr="00DB4A11" w:rsidRDefault="003D41C8" w:rsidP="00110356">
      <w:pPr>
        <w:pStyle w:val="Default"/>
        <w:spacing w:line="300" w:lineRule="auto"/>
        <w:rPr>
          <w:rFonts w:ascii="Arial" w:hAnsi="Arial" w:cs="Arial"/>
          <w:sz w:val="22"/>
          <w:szCs w:val="22"/>
        </w:rPr>
      </w:pPr>
      <w:r>
        <w:rPr>
          <w:rFonts w:ascii="Arial" w:eastAsia="Arial" w:hAnsi="Arial" w:cs="Arial"/>
          <w:b/>
          <w:bCs/>
          <w:color w:val="2E3092"/>
          <w:sz w:val="22"/>
          <w:szCs w:val="22"/>
        </w:rPr>
        <w:br w:type="column"/>
      </w:r>
      <w:r w:rsidR="00F50780" w:rsidRPr="008C0AF0">
        <w:rPr>
          <w:rFonts w:ascii="Arial" w:eastAsia="Arial" w:hAnsi="Arial" w:cs="Arial"/>
          <w:b/>
          <w:bCs/>
          <w:color w:val="2E3092"/>
          <w:sz w:val="22"/>
          <w:szCs w:val="22"/>
        </w:rPr>
        <w:lastRenderedPageBreak/>
        <w:t>Unit 10:</w:t>
      </w:r>
      <w:r w:rsidR="00F50780">
        <w:rPr>
          <w:rFonts w:ascii="Arial" w:hAnsi="Arial" w:cs="Arial"/>
          <w:sz w:val="22"/>
          <w:szCs w:val="22"/>
        </w:rPr>
        <w:t xml:space="preserve"> Health Science Careers</w:t>
      </w:r>
      <w:r w:rsidR="00F50780" w:rsidRPr="00DB4A11">
        <w:rPr>
          <w:rFonts w:ascii="Arial" w:hAnsi="Arial" w:cs="Arial"/>
          <w:sz w:val="22"/>
          <w:szCs w:val="22"/>
        </w:rPr>
        <w:t xml:space="preserve"> </w:t>
      </w:r>
    </w:p>
    <w:p w:rsidR="00F50780" w:rsidRPr="00DB4A11" w:rsidRDefault="00F50780" w:rsidP="00110356">
      <w:pPr>
        <w:pStyle w:val="Default"/>
        <w:spacing w:line="300" w:lineRule="auto"/>
        <w:rPr>
          <w:rFonts w:ascii="Arial" w:hAnsi="Arial" w:cs="Arial"/>
          <w:sz w:val="22"/>
          <w:szCs w:val="22"/>
        </w:rPr>
      </w:pPr>
      <w:r w:rsidRPr="008C0AF0">
        <w:rPr>
          <w:rFonts w:ascii="Arial" w:eastAsia="Arial" w:hAnsi="Arial" w:cs="Arial"/>
          <w:b/>
          <w:bCs/>
          <w:color w:val="2E3092"/>
          <w:sz w:val="22"/>
          <w:szCs w:val="22"/>
        </w:rPr>
        <w:t>Unit 11:</w:t>
      </w:r>
      <w:r>
        <w:rPr>
          <w:rFonts w:ascii="Arial" w:hAnsi="Arial" w:cs="Arial"/>
          <w:sz w:val="22"/>
          <w:szCs w:val="22"/>
        </w:rPr>
        <w:t xml:space="preserve"> </w:t>
      </w:r>
      <w:r w:rsidRPr="00AD325C">
        <w:rPr>
          <w:rFonts w:ascii="Arial" w:hAnsi="Arial" w:cs="Arial"/>
          <w:sz w:val="22"/>
          <w:szCs w:val="22"/>
        </w:rPr>
        <w:t>Hospitality and Tourism Careers</w:t>
      </w:r>
      <w:r w:rsidRPr="00DB4A11">
        <w:rPr>
          <w:rFonts w:ascii="Arial" w:hAnsi="Arial" w:cs="Arial"/>
          <w:sz w:val="22"/>
          <w:szCs w:val="22"/>
        </w:rPr>
        <w:t xml:space="preserve"> </w:t>
      </w:r>
    </w:p>
    <w:p w:rsidR="00F50780" w:rsidRPr="00DB4A11" w:rsidRDefault="00F50780" w:rsidP="00110356">
      <w:pPr>
        <w:pStyle w:val="Default"/>
        <w:spacing w:line="300" w:lineRule="auto"/>
        <w:rPr>
          <w:rFonts w:ascii="Arial" w:hAnsi="Arial" w:cs="Arial"/>
          <w:sz w:val="22"/>
          <w:szCs w:val="22"/>
        </w:rPr>
      </w:pPr>
      <w:r w:rsidRPr="008C0AF0">
        <w:rPr>
          <w:rFonts w:ascii="Arial" w:eastAsia="Arial" w:hAnsi="Arial" w:cs="Arial"/>
          <w:b/>
          <w:bCs/>
          <w:color w:val="2E3092"/>
          <w:sz w:val="22"/>
          <w:szCs w:val="22"/>
        </w:rPr>
        <w:t>Unit 12:</w:t>
      </w:r>
      <w:r w:rsidRPr="00DB4A11">
        <w:rPr>
          <w:rFonts w:ascii="Arial" w:hAnsi="Arial" w:cs="Arial"/>
          <w:sz w:val="22"/>
          <w:szCs w:val="22"/>
        </w:rPr>
        <w:t xml:space="preserve"> </w:t>
      </w:r>
      <w:r>
        <w:rPr>
          <w:rFonts w:ascii="Arial" w:hAnsi="Arial" w:cs="Arial"/>
          <w:sz w:val="22"/>
          <w:szCs w:val="22"/>
        </w:rPr>
        <w:t>Human Services Careers</w:t>
      </w:r>
      <w:r w:rsidRPr="00DB4A11">
        <w:rPr>
          <w:rFonts w:ascii="Arial" w:hAnsi="Arial" w:cs="Arial"/>
          <w:sz w:val="22"/>
          <w:szCs w:val="22"/>
        </w:rPr>
        <w:t xml:space="preserve"> </w:t>
      </w:r>
    </w:p>
    <w:p w:rsidR="00F50780" w:rsidRPr="00DB4A11" w:rsidRDefault="00F50780" w:rsidP="00110356">
      <w:pPr>
        <w:pStyle w:val="Default"/>
        <w:spacing w:line="300" w:lineRule="auto"/>
        <w:rPr>
          <w:rFonts w:ascii="Arial" w:hAnsi="Arial" w:cs="Arial"/>
          <w:sz w:val="22"/>
          <w:szCs w:val="22"/>
        </w:rPr>
      </w:pPr>
      <w:r w:rsidRPr="008C0AF0">
        <w:rPr>
          <w:rFonts w:ascii="Arial" w:eastAsia="Arial" w:hAnsi="Arial" w:cs="Arial"/>
          <w:b/>
          <w:bCs/>
          <w:color w:val="2E3092"/>
          <w:sz w:val="22"/>
          <w:szCs w:val="22"/>
        </w:rPr>
        <w:t>Unit 13:</w:t>
      </w:r>
      <w:r>
        <w:rPr>
          <w:rFonts w:ascii="Arial" w:hAnsi="Arial" w:cs="Arial"/>
          <w:sz w:val="22"/>
          <w:szCs w:val="22"/>
        </w:rPr>
        <w:t xml:space="preserve"> Information Technology Careers</w:t>
      </w:r>
      <w:r w:rsidRPr="00DB4A11">
        <w:rPr>
          <w:rFonts w:ascii="Arial" w:hAnsi="Arial" w:cs="Arial"/>
          <w:sz w:val="22"/>
          <w:szCs w:val="22"/>
        </w:rPr>
        <w:t xml:space="preserve"> </w:t>
      </w:r>
    </w:p>
    <w:p w:rsidR="00F50780" w:rsidRPr="00DB4A11" w:rsidRDefault="00F50780" w:rsidP="00110356">
      <w:pPr>
        <w:pStyle w:val="Default"/>
        <w:spacing w:line="300" w:lineRule="auto"/>
        <w:rPr>
          <w:rFonts w:ascii="Arial" w:hAnsi="Arial" w:cs="Arial"/>
          <w:sz w:val="22"/>
          <w:szCs w:val="22"/>
        </w:rPr>
      </w:pPr>
      <w:r w:rsidRPr="008C0AF0">
        <w:rPr>
          <w:rFonts w:ascii="Arial" w:eastAsia="Arial" w:hAnsi="Arial" w:cs="Arial"/>
          <w:b/>
          <w:bCs/>
          <w:color w:val="2E3092"/>
          <w:sz w:val="22"/>
          <w:szCs w:val="22"/>
        </w:rPr>
        <w:t>Unit 14:</w:t>
      </w:r>
      <w:r>
        <w:rPr>
          <w:rFonts w:ascii="Arial" w:hAnsi="Arial" w:cs="Arial"/>
          <w:sz w:val="22"/>
          <w:szCs w:val="22"/>
        </w:rPr>
        <w:t xml:space="preserve"> </w:t>
      </w:r>
      <w:r w:rsidRPr="00AD325C">
        <w:rPr>
          <w:rFonts w:ascii="Arial" w:hAnsi="Arial" w:cs="Arial"/>
          <w:sz w:val="22"/>
          <w:szCs w:val="22"/>
        </w:rPr>
        <w:t>Law, Public Safety, and Security Careers</w:t>
      </w:r>
    </w:p>
    <w:p w:rsidR="00F50780" w:rsidRDefault="00F50780" w:rsidP="00110356">
      <w:pPr>
        <w:pStyle w:val="Default"/>
        <w:spacing w:line="300" w:lineRule="auto"/>
        <w:rPr>
          <w:rFonts w:ascii="Arial" w:hAnsi="Arial" w:cs="Arial"/>
          <w:sz w:val="22"/>
          <w:szCs w:val="22"/>
        </w:rPr>
      </w:pPr>
      <w:r w:rsidRPr="008C0AF0">
        <w:rPr>
          <w:rFonts w:ascii="Arial" w:eastAsia="Arial" w:hAnsi="Arial" w:cs="Arial"/>
          <w:b/>
          <w:bCs/>
          <w:color w:val="2E3092"/>
          <w:sz w:val="22"/>
          <w:szCs w:val="22"/>
        </w:rPr>
        <w:t>Unit 15:</w:t>
      </w:r>
      <w:r>
        <w:rPr>
          <w:rFonts w:ascii="Arial" w:hAnsi="Arial" w:cs="Arial"/>
          <w:sz w:val="22"/>
          <w:szCs w:val="22"/>
        </w:rPr>
        <w:t xml:space="preserve"> Manufacturing Careers</w:t>
      </w:r>
    </w:p>
    <w:p w:rsidR="00F50780" w:rsidRPr="00DB4A11" w:rsidRDefault="00F50780" w:rsidP="00110356">
      <w:pPr>
        <w:pStyle w:val="Default"/>
        <w:spacing w:line="300" w:lineRule="auto"/>
        <w:rPr>
          <w:rFonts w:ascii="Arial" w:hAnsi="Arial" w:cs="Arial"/>
          <w:sz w:val="22"/>
          <w:szCs w:val="22"/>
        </w:rPr>
      </w:pPr>
      <w:r w:rsidRPr="008C0AF0">
        <w:rPr>
          <w:rFonts w:ascii="Arial" w:eastAsia="Arial" w:hAnsi="Arial" w:cs="Arial"/>
          <w:b/>
          <w:bCs/>
          <w:color w:val="2E3092"/>
          <w:sz w:val="22"/>
          <w:szCs w:val="22"/>
        </w:rPr>
        <w:t>Unit 16:</w:t>
      </w:r>
      <w:r>
        <w:rPr>
          <w:rFonts w:ascii="Arial" w:hAnsi="Arial" w:cs="Arial"/>
          <w:sz w:val="22"/>
          <w:szCs w:val="22"/>
        </w:rPr>
        <w:t xml:space="preserve"> </w:t>
      </w:r>
      <w:r w:rsidRPr="00AD325C">
        <w:rPr>
          <w:rFonts w:ascii="Arial" w:hAnsi="Arial" w:cs="Arial"/>
          <w:sz w:val="22"/>
          <w:szCs w:val="22"/>
        </w:rPr>
        <w:t>Marketing, Sales, and Service Careers</w:t>
      </w:r>
      <w:r w:rsidRPr="00DB4A11">
        <w:rPr>
          <w:rFonts w:ascii="Arial" w:hAnsi="Arial" w:cs="Arial"/>
          <w:sz w:val="22"/>
          <w:szCs w:val="22"/>
        </w:rPr>
        <w:t xml:space="preserve"> </w:t>
      </w:r>
    </w:p>
    <w:p w:rsidR="00F50780" w:rsidRDefault="00F50780" w:rsidP="00110356">
      <w:pPr>
        <w:pStyle w:val="Default"/>
        <w:spacing w:line="300" w:lineRule="auto"/>
        <w:rPr>
          <w:rFonts w:ascii="Arial" w:eastAsia="Arial" w:hAnsi="Arial" w:cs="Arial"/>
          <w:b/>
          <w:bCs/>
          <w:color w:val="2E3092"/>
          <w:sz w:val="22"/>
          <w:szCs w:val="22"/>
        </w:rPr>
      </w:pPr>
      <w:r w:rsidRPr="008C0AF0">
        <w:rPr>
          <w:rFonts w:ascii="Arial" w:eastAsia="Arial" w:hAnsi="Arial" w:cs="Arial"/>
          <w:b/>
          <w:bCs/>
          <w:color w:val="2E3092"/>
          <w:sz w:val="22"/>
          <w:szCs w:val="22"/>
        </w:rPr>
        <w:t>Unit 17:</w:t>
      </w:r>
      <w:r>
        <w:rPr>
          <w:rFonts w:ascii="Arial" w:hAnsi="Arial" w:cs="Arial"/>
          <w:sz w:val="22"/>
          <w:szCs w:val="22"/>
        </w:rPr>
        <w:t xml:space="preserve"> </w:t>
      </w:r>
      <w:r w:rsidRPr="00AD325C">
        <w:rPr>
          <w:rFonts w:ascii="Arial" w:hAnsi="Arial" w:cs="Arial"/>
          <w:sz w:val="22"/>
          <w:szCs w:val="22"/>
        </w:rPr>
        <w:t>Science, Technology, Engineering, and Math Careers</w:t>
      </w:r>
      <w:r w:rsidRPr="00F50780">
        <w:rPr>
          <w:rFonts w:ascii="Arial" w:eastAsia="Arial" w:hAnsi="Arial" w:cs="Arial"/>
          <w:b/>
          <w:bCs/>
          <w:color w:val="2E3092"/>
          <w:sz w:val="22"/>
          <w:szCs w:val="22"/>
        </w:rPr>
        <w:t xml:space="preserve"> </w:t>
      </w:r>
    </w:p>
    <w:p w:rsidR="00F50780" w:rsidRDefault="00F50780" w:rsidP="00110356">
      <w:pPr>
        <w:pStyle w:val="Default"/>
        <w:spacing w:line="300" w:lineRule="auto"/>
        <w:rPr>
          <w:rFonts w:ascii="Arial" w:hAnsi="Arial" w:cs="Arial"/>
          <w:sz w:val="22"/>
          <w:szCs w:val="22"/>
        </w:rPr>
      </w:pPr>
      <w:r>
        <w:rPr>
          <w:rFonts w:ascii="Arial" w:eastAsia="Arial" w:hAnsi="Arial" w:cs="Arial"/>
          <w:b/>
          <w:bCs/>
          <w:color w:val="2E3092"/>
          <w:sz w:val="22"/>
          <w:szCs w:val="22"/>
        </w:rPr>
        <w:t>Unit 18</w:t>
      </w:r>
      <w:r w:rsidRPr="008C0AF0">
        <w:rPr>
          <w:rFonts w:ascii="Arial" w:eastAsia="Arial" w:hAnsi="Arial" w:cs="Arial"/>
          <w:b/>
          <w:bCs/>
          <w:color w:val="2E3092"/>
          <w:sz w:val="22"/>
          <w:szCs w:val="22"/>
        </w:rPr>
        <w:t>:</w:t>
      </w:r>
      <w:r>
        <w:rPr>
          <w:rFonts w:ascii="Arial" w:hAnsi="Arial" w:cs="Arial"/>
          <w:sz w:val="22"/>
          <w:szCs w:val="22"/>
        </w:rPr>
        <w:t xml:space="preserve"> </w:t>
      </w:r>
      <w:r w:rsidRPr="00F50780">
        <w:rPr>
          <w:rFonts w:ascii="Arial" w:hAnsi="Arial" w:cs="Arial"/>
          <w:sz w:val="22"/>
          <w:szCs w:val="22"/>
        </w:rPr>
        <w:t>Transportation and Logistics Careers</w:t>
      </w:r>
    </w:p>
    <w:p w:rsidR="00863F08" w:rsidRDefault="00F50780" w:rsidP="00110356">
      <w:pPr>
        <w:pStyle w:val="Default"/>
        <w:spacing w:line="300" w:lineRule="auto"/>
      </w:pPr>
      <w:r>
        <w:rPr>
          <w:rFonts w:ascii="Arial" w:eastAsia="Arial" w:hAnsi="Arial" w:cs="Arial"/>
          <w:b/>
          <w:bCs/>
          <w:color w:val="2E3092"/>
          <w:sz w:val="22"/>
          <w:szCs w:val="22"/>
        </w:rPr>
        <w:t>Unit 19</w:t>
      </w:r>
      <w:r w:rsidRPr="008C0AF0">
        <w:rPr>
          <w:rFonts w:ascii="Arial" w:eastAsia="Arial" w:hAnsi="Arial" w:cs="Arial"/>
          <w:b/>
          <w:bCs/>
          <w:color w:val="2E3092"/>
          <w:sz w:val="22"/>
          <w:szCs w:val="22"/>
        </w:rPr>
        <w:t>:</w:t>
      </w:r>
      <w:r>
        <w:rPr>
          <w:rFonts w:ascii="Arial" w:hAnsi="Arial" w:cs="Arial"/>
          <w:sz w:val="22"/>
          <w:szCs w:val="22"/>
        </w:rPr>
        <w:t xml:space="preserve"> </w:t>
      </w:r>
      <w:r w:rsidRPr="00F50780">
        <w:rPr>
          <w:rFonts w:ascii="Arial" w:hAnsi="Arial" w:cs="Arial"/>
          <w:sz w:val="22"/>
          <w:szCs w:val="22"/>
        </w:rPr>
        <w:t xml:space="preserve">Career Research </w:t>
      </w:r>
      <w:r>
        <w:rPr>
          <w:rFonts w:ascii="Arial" w:hAnsi="Arial" w:cs="Arial"/>
          <w:sz w:val="22"/>
          <w:szCs w:val="22"/>
        </w:rPr>
        <w:t>and Planning</w:t>
      </w:r>
    </w:p>
    <w:sectPr w:rsidR="00863F08" w:rsidSect="003D41C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CF0" w:rsidRDefault="00833CF0" w:rsidP="00E444F9">
      <w:pPr>
        <w:spacing w:before="0" w:after="0" w:line="240" w:lineRule="auto"/>
      </w:pPr>
      <w:r>
        <w:separator/>
      </w:r>
    </w:p>
  </w:endnote>
  <w:endnote w:type="continuationSeparator" w:id="0">
    <w:p w:rsidR="00833CF0" w:rsidRDefault="00833CF0" w:rsidP="00E444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C1" w:rsidRPr="003C64B4" w:rsidRDefault="005A3874" w:rsidP="003D41C8">
    <w:pPr>
      <w:pStyle w:val="Footer"/>
    </w:pPr>
    <w:r w:rsidRPr="003F47D1">
      <w:rPr>
        <w:rFonts w:ascii="Times New Roman" w:hAnsi="Times New Roman" w:cs="Times New Roman"/>
        <w:noProof/>
        <w:color w:val="6B6C6F"/>
        <w:sz w:val="18"/>
        <w:szCs w:val="18"/>
      </w:rPr>
      <w:drawing>
        <wp:anchor distT="0" distB="0" distL="114300" distR="114300" simplePos="0" relativeHeight="251659264" behindDoc="1" locked="0" layoutInCell="1" allowOverlap="1" wp14:anchorId="641C392A" wp14:editId="29C9E0C4">
          <wp:simplePos x="0" y="0"/>
          <wp:positionH relativeFrom="page">
            <wp:posOffset>6142355</wp:posOffset>
          </wp:positionH>
          <wp:positionV relativeFrom="paragraph">
            <wp:posOffset>98729</wp:posOffset>
          </wp:positionV>
          <wp:extent cx="1455420" cy="2851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85115"/>
                  </a:xfrm>
                  <a:prstGeom prst="rect">
                    <a:avLst/>
                  </a:prstGeom>
                  <a:noFill/>
                </pic:spPr>
              </pic:pic>
            </a:graphicData>
          </a:graphic>
          <wp14:sizeRelH relativeFrom="page">
            <wp14:pctWidth>0</wp14:pctWidth>
          </wp14:sizeRelH>
          <wp14:sizeRelV relativeFrom="page">
            <wp14:pctHeight>0</wp14:pctHeight>
          </wp14:sizeRelV>
        </wp:anchor>
      </w:drawing>
    </w:r>
    <w:r w:rsidRPr="003F47D1">
      <w:rPr>
        <w:color w:val="6B6C6F"/>
        <w:sz w:val="18"/>
        <w:szCs w:val="18"/>
      </w:rPr>
      <w:t xml:space="preserve">Page </w:t>
    </w:r>
    <w:r w:rsidRPr="003F47D1">
      <w:rPr>
        <w:color w:val="6B6C6F"/>
        <w:sz w:val="18"/>
        <w:szCs w:val="18"/>
      </w:rPr>
      <w:fldChar w:fldCharType="begin"/>
    </w:r>
    <w:r w:rsidRPr="003F47D1">
      <w:rPr>
        <w:color w:val="6B6C6F"/>
        <w:sz w:val="18"/>
        <w:szCs w:val="18"/>
      </w:rPr>
      <w:instrText xml:space="preserve"> PAGE   \* MERGEFORMAT </w:instrText>
    </w:r>
    <w:r w:rsidRPr="003F47D1">
      <w:rPr>
        <w:color w:val="6B6C6F"/>
        <w:sz w:val="18"/>
        <w:szCs w:val="18"/>
      </w:rPr>
      <w:fldChar w:fldCharType="separate"/>
    </w:r>
    <w:r w:rsidR="00110356">
      <w:rPr>
        <w:noProof/>
        <w:color w:val="6B6C6F"/>
        <w:sz w:val="18"/>
        <w:szCs w:val="18"/>
      </w:rPr>
      <w:t>1</w:t>
    </w:r>
    <w:r w:rsidRPr="003F47D1">
      <w:rPr>
        <w:noProof/>
        <w:color w:val="6B6C6F"/>
        <w:sz w:val="18"/>
        <w:szCs w:val="18"/>
      </w:rPr>
      <w:fldChar w:fldCharType="end"/>
    </w:r>
    <w:r w:rsidRPr="003F47D1">
      <w:rPr>
        <w:color w:val="6B6C6F"/>
        <w:sz w:val="18"/>
        <w:szCs w:val="18"/>
      </w:rPr>
      <w:t xml:space="preserve"> | © Edgenuity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CF0" w:rsidRDefault="00833CF0" w:rsidP="00E444F9">
      <w:pPr>
        <w:spacing w:before="0" w:after="0" w:line="240" w:lineRule="auto"/>
      </w:pPr>
      <w:r>
        <w:separator/>
      </w:r>
    </w:p>
  </w:footnote>
  <w:footnote w:type="continuationSeparator" w:id="0">
    <w:p w:rsidR="00833CF0" w:rsidRDefault="00833CF0" w:rsidP="00E444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A83"/>
    <w:multiLevelType w:val="hybridMultilevel"/>
    <w:tmpl w:val="AA1ECEB6"/>
    <w:lvl w:ilvl="0" w:tplc="CFC2CC8A">
      <w:start w:val="1"/>
      <w:numFmt w:val="bullet"/>
      <w:lvlText w:val=""/>
      <w:lvlJc w:val="left"/>
      <w:pPr>
        <w:ind w:left="720" w:hanging="360"/>
      </w:pPr>
      <w:rPr>
        <w:rFonts w:ascii="Symbol" w:hAnsi="Symbol" w:hint="default"/>
        <w:color w:val="2E309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C1ED9"/>
    <w:multiLevelType w:val="hybridMultilevel"/>
    <w:tmpl w:val="223A7542"/>
    <w:lvl w:ilvl="0" w:tplc="CFC2CC8A">
      <w:start w:val="1"/>
      <w:numFmt w:val="bullet"/>
      <w:lvlText w:val=""/>
      <w:lvlJc w:val="left"/>
      <w:pPr>
        <w:ind w:left="720" w:hanging="360"/>
      </w:pPr>
      <w:rPr>
        <w:rFonts w:ascii="Symbol" w:hAnsi="Symbol" w:hint="default"/>
        <w:color w:val="2E309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96E26"/>
    <w:multiLevelType w:val="hybridMultilevel"/>
    <w:tmpl w:val="EA24F32A"/>
    <w:lvl w:ilvl="0" w:tplc="CFC2CC8A">
      <w:start w:val="1"/>
      <w:numFmt w:val="bullet"/>
      <w:lvlText w:val=""/>
      <w:lvlJc w:val="left"/>
      <w:pPr>
        <w:ind w:left="720" w:hanging="360"/>
      </w:pPr>
      <w:rPr>
        <w:rFonts w:ascii="Symbol" w:hAnsi="Symbol" w:hint="default"/>
        <w:color w:val="2E309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F0"/>
    <w:rsid w:val="00045AB2"/>
    <w:rsid w:val="00110356"/>
    <w:rsid w:val="00154B03"/>
    <w:rsid w:val="001E4897"/>
    <w:rsid w:val="00216CE2"/>
    <w:rsid w:val="00242707"/>
    <w:rsid w:val="002D784C"/>
    <w:rsid w:val="002F7DE9"/>
    <w:rsid w:val="003453CB"/>
    <w:rsid w:val="003D41C8"/>
    <w:rsid w:val="004A6672"/>
    <w:rsid w:val="004C6B70"/>
    <w:rsid w:val="005A3874"/>
    <w:rsid w:val="00654AB7"/>
    <w:rsid w:val="00680077"/>
    <w:rsid w:val="006E143A"/>
    <w:rsid w:val="00833CF0"/>
    <w:rsid w:val="008C0AF0"/>
    <w:rsid w:val="009339AF"/>
    <w:rsid w:val="009742AE"/>
    <w:rsid w:val="009B755B"/>
    <w:rsid w:val="00A46A69"/>
    <w:rsid w:val="00AD325C"/>
    <w:rsid w:val="00AF2521"/>
    <w:rsid w:val="00B07DBE"/>
    <w:rsid w:val="00B64C62"/>
    <w:rsid w:val="00BF7016"/>
    <w:rsid w:val="00C33CFB"/>
    <w:rsid w:val="00C964F8"/>
    <w:rsid w:val="00CE0A37"/>
    <w:rsid w:val="00D052BD"/>
    <w:rsid w:val="00E444F9"/>
    <w:rsid w:val="00F22901"/>
    <w:rsid w:val="00F50780"/>
    <w:rsid w:val="00F91AFE"/>
    <w:rsid w:val="00FE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22780-B517-4708-B263-A18E27F1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AF0"/>
    <w:pPr>
      <w:widowControl w:val="0"/>
      <w:spacing w:before="240" w:after="240" w:line="312" w:lineRule="auto"/>
      <w:ind w:right="311"/>
    </w:pPr>
    <w:rPr>
      <w:rFonts w:ascii="Arial" w:eastAsia="Arial" w:hAnsi="Arial" w:cs="Arial"/>
      <w:color w:val="231F20"/>
    </w:rPr>
  </w:style>
  <w:style w:type="paragraph" w:styleId="Heading1">
    <w:name w:val="heading 1"/>
    <w:basedOn w:val="Normal"/>
    <w:next w:val="Normal"/>
    <w:link w:val="Heading1Char"/>
    <w:uiPriority w:val="9"/>
    <w:qFormat/>
    <w:rsid w:val="008C0AF0"/>
    <w:pPr>
      <w:spacing w:line="240" w:lineRule="auto"/>
      <w:ind w:right="-20"/>
      <w:outlineLvl w:val="0"/>
    </w:pPr>
    <w:rPr>
      <w:b/>
      <w:bCs/>
      <w:color w:val="2E3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AF0"/>
    <w:rPr>
      <w:rFonts w:ascii="Arial" w:eastAsia="Arial" w:hAnsi="Arial" w:cs="Arial"/>
      <w:b/>
      <w:bCs/>
      <w:color w:val="2E3092"/>
    </w:rPr>
  </w:style>
  <w:style w:type="paragraph" w:styleId="Subtitle">
    <w:name w:val="Subtitle"/>
    <w:basedOn w:val="Normal"/>
    <w:next w:val="Normal"/>
    <w:link w:val="SubtitleChar"/>
    <w:uiPriority w:val="11"/>
    <w:qFormat/>
    <w:rsid w:val="008C0AF0"/>
    <w:pPr>
      <w:pBdr>
        <w:bottom w:val="single" w:sz="4" w:space="1" w:color="6B6C6F"/>
      </w:pBdr>
      <w:spacing w:before="0" w:line="525" w:lineRule="exact"/>
      <w:ind w:right="-20"/>
    </w:pPr>
    <w:rPr>
      <w:rFonts w:ascii="Arial Narrow" w:eastAsia="Arial Narrow" w:hAnsi="Arial Narrow" w:cs="Arial Narrow"/>
      <w:color w:val="6B6C6F"/>
      <w:sz w:val="48"/>
      <w:szCs w:val="48"/>
    </w:rPr>
  </w:style>
  <w:style w:type="character" w:customStyle="1" w:styleId="SubtitleChar">
    <w:name w:val="Subtitle Char"/>
    <w:basedOn w:val="DefaultParagraphFont"/>
    <w:link w:val="Subtitle"/>
    <w:uiPriority w:val="11"/>
    <w:rsid w:val="008C0AF0"/>
    <w:rPr>
      <w:rFonts w:ascii="Arial Narrow" w:eastAsia="Arial Narrow" w:hAnsi="Arial Narrow" w:cs="Arial Narrow"/>
      <w:color w:val="6B6C6F"/>
      <w:sz w:val="48"/>
      <w:szCs w:val="48"/>
    </w:rPr>
  </w:style>
  <w:style w:type="paragraph" w:customStyle="1" w:styleId="TableHeader">
    <w:name w:val="Table Header"/>
    <w:basedOn w:val="Normal"/>
    <w:link w:val="TableHeaderChar"/>
    <w:qFormat/>
    <w:rsid w:val="008C0AF0"/>
    <w:pPr>
      <w:spacing w:before="0" w:line="276" w:lineRule="auto"/>
      <w:jc w:val="center"/>
    </w:pPr>
    <w:rPr>
      <w:bCs/>
      <w:color w:val="FFFFFF"/>
      <w:sz w:val="20"/>
      <w:szCs w:val="20"/>
    </w:rPr>
  </w:style>
  <w:style w:type="character" w:customStyle="1" w:styleId="TableHeaderChar">
    <w:name w:val="Table Header Char"/>
    <w:basedOn w:val="DefaultParagraphFont"/>
    <w:link w:val="TableHeader"/>
    <w:rsid w:val="008C0AF0"/>
    <w:rPr>
      <w:rFonts w:ascii="Arial" w:eastAsia="Arial" w:hAnsi="Arial" w:cs="Arial"/>
      <w:bCs/>
      <w:color w:val="FFFFFF"/>
      <w:sz w:val="20"/>
      <w:szCs w:val="20"/>
    </w:rPr>
  </w:style>
  <w:style w:type="paragraph" w:customStyle="1" w:styleId="TableText">
    <w:name w:val="Table Text"/>
    <w:basedOn w:val="Normal"/>
    <w:link w:val="TableTextChar"/>
    <w:qFormat/>
    <w:rsid w:val="008C0AF0"/>
    <w:pPr>
      <w:spacing w:before="37" w:line="276" w:lineRule="auto"/>
      <w:ind w:left="72" w:right="-20"/>
    </w:pPr>
    <w:rPr>
      <w:spacing w:val="-6"/>
      <w:sz w:val="18"/>
      <w:szCs w:val="18"/>
    </w:rPr>
  </w:style>
  <w:style w:type="character" w:customStyle="1" w:styleId="TableTextChar">
    <w:name w:val="Table Text Char"/>
    <w:basedOn w:val="DefaultParagraphFont"/>
    <w:link w:val="TableText"/>
    <w:rsid w:val="008C0AF0"/>
    <w:rPr>
      <w:rFonts w:ascii="Arial" w:eastAsia="Arial" w:hAnsi="Arial" w:cs="Arial"/>
      <w:color w:val="231F20"/>
      <w:spacing w:val="-6"/>
      <w:sz w:val="18"/>
      <w:szCs w:val="18"/>
    </w:rPr>
  </w:style>
  <w:style w:type="paragraph" w:styleId="Footer">
    <w:name w:val="footer"/>
    <w:basedOn w:val="Normal"/>
    <w:link w:val="FooterChar"/>
    <w:uiPriority w:val="99"/>
    <w:unhideWhenUsed/>
    <w:rsid w:val="008C0AF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C0AF0"/>
    <w:rPr>
      <w:rFonts w:ascii="Arial" w:eastAsia="Arial" w:hAnsi="Arial" w:cs="Arial"/>
      <w:color w:val="231F20"/>
    </w:rPr>
  </w:style>
  <w:style w:type="table" w:styleId="MediumShading1-Accent1">
    <w:name w:val="Medium Shading 1 Accent 1"/>
    <w:basedOn w:val="TableNormal"/>
    <w:uiPriority w:val="63"/>
    <w:rsid w:val="008C0AF0"/>
    <w:pPr>
      <w:widowControl w:val="0"/>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8C0AF0"/>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Header">
    <w:name w:val="header"/>
    <w:basedOn w:val="Normal"/>
    <w:link w:val="HeaderChar"/>
    <w:uiPriority w:val="99"/>
    <w:unhideWhenUsed/>
    <w:rsid w:val="00E44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444F9"/>
    <w:rPr>
      <w:rFonts w:ascii="Arial" w:eastAsia="Arial" w:hAnsi="Arial" w:cs="Arial"/>
      <w:color w:val="231F20"/>
    </w:rPr>
  </w:style>
  <w:style w:type="paragraph" w:styleId="ListParagraph">
    <w:name w:val="List Paragraph"/>
    <w:basedOn w:val="Normal"/>
    <w:uiPriority w:val="34"/>
    <w:qFormat/>
    <w:rsid w:val="004C6B70"/>
    <w:pPr>
      <w:ind w:left="720"/>
      <w:contextualSpacing/>
    </w:pPr>
  </w:style>
  <w:style w:type="table" w:customStyle="1" w:styleId="MediumShading1-Accent11">
    <w:name w:val="Medium Shading 1 - Accent 11"/>
    <w:basedOn w:val="TableNormal"/>
    <w:uiPriority w:val="63"/>
    <w:rsid w:val="00AD325C"/>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73931">
      <w:bodyDiv w:val="1"/>
      <w:marLeft w:val="0"/>
      <w:marRight w:val="0"/>
      <w:marTop w:val="0"/>
      <w:marBottom w:val="0"/>
      <w:divBdr>
        <w:top w:val="none" w:sz="0" w:space="0" w:color="auto"/>
        <w:left w:val="none" w:sz="0" w:space="0" w:color="auto"/>
        <w:bottom w:val="none" w:sz="0" w:space="0" w:color="auto"/>
        <w:right w:val="none" w:sz="0" w:space="0" w:color="auto"/>
      </w:divBdr>
    </w:div>
    <w:div w:id="179917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509590F4CE56428512992A1991EAFB" ma:contentTypeVersion="2" ma:contentTypeDescription="Create a new document." ma:contentTypeScope="" ma:versionID="cf0bcfe3342b0bd289e06bb4d7af8181">
  <xsd:schema xmlns:xsd="http://www.w3.org/2001/XMLSchema" xmlns:xs="http://www.w3.org/2001/XMLSchema" xmlns:p="http://schemas.microsoft.com/office/2006/metadata/properties" xmlns:ns2="6c10319e-4fb0-4704-8ea2-11847d2882bb" targetNamespace="http://schemas.microsoft.com/office/2006/metadata/properties" ma:root="true" ma:fieldsID="ddefe8abd8de7a08b1fd82ce44680607" ns2:_="">
    <xsd:import namespace="6c10319e-4fb0-4704-8ea2-11847d2882bb"/>
    <xsd:element name="properties">
      <xsd:complexType>
        <xsd:sequence>
          <xsd:element name="documentManagement">
            <xsd:complexType>
              <xsd:all>
                <xsd:element ref="ns2:Comme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0319e-4fb0-4704-8ea2-11847d2882bb" elementFormDefault="qualified">
    <xsd:import namespace="http://schemas.microsoft.com/office/2006/documentManagement/types"/>
    <xsd:import namespace="http://schemas.microsoft.com/office/infopath/2007/PartnerControls"/>
    <xsd:element name="Comments" ma:index="8" nillable="true" ma:displayName="Comments" ma:description="Comments" ma:internalName="Comments">
      <xsd:simpleType>
        <xsd:restriction base="dms:Text">
          <xsd:maxLength value="255"/>
        </xsd:restriction>
      </xsd:simpleType>
    </xsd:element>
    <xsd:element name="Status" ma:index="9" nillable="true" ma:displayName="Status" ma:default="Completed" ma:internalName="Status">
      <xsd:complexType>
        <xsd:complexContent>
          <xsd:extension base="dms:MultiChoice">
            <xsd:sequence>
              <xsd:element name="Value" maxOccurs="unbounded" minOccurs="0" nillable="true">
                <xsd:simpleType>
                  <xsd:restriction base="dms:Choice">
                    <xsd:enumeration value="Complet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6c10319e-4fb0-4704-8ea2-11847d2882bb" xsi:nil="true"/>
    <Status xmlns="6c10319e-4fb0-4704-8ea2-11847d2882bb">
      <Value>Completed</Value>
    </Status>
  </documentManagement>
</p:properties>
</file>

<file path=customXml/itemProps1.xml><?xml version="1.0" encoding="utf-8"?>
<ds:datastoreItem xmlns:ds="http://schemas.openxmlformats.org/officeDocument/2006/customXml" ds:itemID="{FCFC3A58-19A4-4FFE-ABA5-0C4F4831E4B5}">
  <ds:schemaRefs>
    <ds:schemaRef ds:uri="http://schemas.microsoft.com/sharepoint/v3/contenttype/forms"/>
  </ds:schemaRefs>
</ds:datastoreItem>
</file>

<file path=customXml/itemProps2.xml><?xml version="1.0" encoding="utf-8"?>
<ds:datastoreItem xmlns:ds="http://schemas.openxmlformats.org/officeDocument/2006/customXml" ds:itemID="{FED594C1-7C94-40BB-B4A6-4F1452CB6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0319e-4fb0-4704-8ea2-11847d288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927AA-BFBD-43F0-BC5F-CA179AD17A0A}">
  <ds:schemaRefs>
    <ds:schemaRef ds:uri="http://schemas.microsoft.com/office/2006/metadata/properties"/>
    <ds:schemaRef ds:uri="http://schemas.microsoft.com/office/infopath/2007/PartnerControls"/>
    <ds:schemaRef ds:uri="6c10319e-4fb0-4704-8ea2-11847d2882b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Bunny Lee</dc:creator>
  <cp:lastModifiedBy>Deborah Rayow</cp:lastModifiedBy>
  <cp:revision>3</cp:revision>
  <cp:lastPrinted>2013-08-03T15:22:00Z</cp:lastPrinted>
  <dcterms:created xsi:type="dcterms:W3CDTF">2016-01-25T21:56:00Z</dcterms:created>
  <dcterms:modified xsi:type="dcterms:W3CDTF">2016-01-25T21:57:00Z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0x010100A4509590F4CE56428512992A1991EAFB</vt:lpwstr>
  </property>
</Properties>
</file>